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E0D" w:rsidRPr="001D07D6" w:rsidRDefault="00002E0D">
      <w:pPr>
        <w:pStyle w:val="Tekstpodstawowy"/>
        <w:spacing w:before="4"/>
        <w:rPr>
          <w:rFonts w:asciiTheme="minorHAnsi" w:hAnsiTheme="minorHAnsi" w:cstheme="minorHAnsi"/>
          <w:sz w:val="12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7"/>
        <w:gridCol w:w="1247"/>
        <w:gridCol w:w="1058"/>
        <w:gridCol w:w="4385"/>
        <w:gridCol w:w="908"/>
        <w:gridCol w:w="2552"/>
        <w:gridCol w:w="1418"/>
        <w:gridCol w:w="1418"/>
      </w:tblGrid>
      <w:tr w:rsidR="00002E0D" w:rsidRPr="001D07D6" w:rsidTr="001D07D6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02E0D" w:rsidRPr="001D07D6" w:rsidRDefault="00D174A3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D07D6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02E0D" w:rsidRPr="001D07D6" w:rsidRDefault="00D174A3">
            <w:pPr>
              <w:pStyle w:val="TableParagraph"/>
              <w:spacing w:before="3" w:line="220" w:lineRule="auto"/>
              <w:ind w:left="61" w:right="4"/>
              <w:rPr>
                <w:rFonts w:asciiTheme="minorHAnsi" w:hAnsiTheme="minorHAnsi" w:cstheme="minorHAnsi"/>
                <w:b/>
                <w:sz w:val="19"/>
              </w:rPr>
            </w:pPr>
            <w:r w:rsidRPr="001D07D6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002E0D" w:rsidRPr="001D07D6" w:rsidRDefault="00D174A3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D07D6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02E0D" w:rsidRPr="001D07D6" w:rsidRDefault="00D174A3">
            <w:pPr>
              <w:pStyle w:val="TableParagraph"/>
              <w:spacing w:before="3" w:line="220" w:lineRule="auto"/>
              <w:ind w:left="61" w:right="131"/>
              <w:rPr>
                <w:rFonts w:asciiTheme="minorHAnsi" w:hAnsiTheme="minorHAnsi" w:cstheme="minorHAnsi"/>
                <w:b/>
                <w:sz w:val="19"/>
              </w:rPr>
            </w:pPr>
            <w:r w:rsidRPr="001D07D6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02E0D" w:rsidRPr="001D07D6" w:rsidRDefault="00D174A3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1D07D6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1D07D6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002E0D" w:rsidRPr="001D07D6" w:rsidRDefault="00D174A3">
            <w:pPr>
              <w:pStyle w:val="TableParagraph"/>
              <w:spacing w:before="3"/>
              <w:ind w:left="62"/>
              <w:rPr>
                <w:rFonts w:asciiTheme="minorHAnsi" w:hAnsiTheme="minorHAnsi" w:cstheme="minorHAnsi"/>
                <w:b/>
                <w:sz w:val="16"/>
              </w:rPr>
            </w:pPr>
            <w:r w:rsidRPr="001D07D6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002E0D" w:rsidRPr="001D07D6" w:rsidRDefault="00D174A3">
            <w:pPr>
              <w:pStyle w:val="TableParagraph"/>
              <w:spacing w:before="8" w:line="249" w:lineRule="auto"/>
              <w:ind w:left="62" w:right="36"/>
              <w:rPr>
                <w:rFonts w:asciiTheme="minorHAnsi" w:hAnsiTheme="minorHAnsi" w:cstheme="minorHAnsi"/>
                <w:b/>
                <w:sz w:val="16"/>
              </w:rPr>
            </w:pPr>
            <w:r w:rsidRPr="001D07D6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1D07D6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1D07D6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38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02E0D" w:rsidRPr="001D07D6" w:rsidRDefault="00D174A3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1D07D6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02E0D" w:rsidRPr="001D07D6" w:rsidRDefault="00D174A3">
            <w:pPr>
              <w:pStyle w:val="TableParagraph"/>
              <w:spacing w:before="3" w:line="220" w:lineRule="auto"/>
              <w:ind w:left="61" w:right="99"/>
              <w:rPr>
                <w:rFonts w:asciiTheme="minorHAnsi" w:hAnsiTheme="minorHAnsi" w:cstheme="minorHAnsi"/>
                <w:b/>
                <w:sz w:val="19"/>
              </w:rPr>
            </w:pPr>
            <w:r w:rsidRPr="001D07D6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1D07D6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1D07D6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1D07D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1D07D6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002E0D" w:rsidRPr="001D07D6" w:rsidRDefault="00D174A3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1D07D6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02E0D" w:rsidRPr="001D07D6" w:rsidRDefault="00D174A3">
            <w:pPr>
              <w:pStyle w:val="TableParagraph"/>
              <w:spacing w:before="29" w:line="189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1D07D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1D07D6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1D07D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1D07D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1D07D6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1D07D6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1D07D6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02E0D" w:rsidRPr="001D07D6" w:rsidRDefault="00D174A3">
            <w:pPr>
              <w:pStyle w:val="TableParagraph"/>
              <w:spacing w:before="3" w:line="220" w:lineRule="auto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1D07D6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02E0D" w:rsidRPr="001D07D6" w:rsidRDefault="00D174A3">
            <w:pPr>
              <w:pStyle w:val="TableParagraph"/>
              <w:spacing w:before="3" w:line="220" w:lineRule="auto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1D07D6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1D07D6" w:rsidRPr="001D07D6" w:rsidTr="003046C5">
        <w:trPr>
          <w:trHeight w:val="1688"/>
        </w:trPr>
        <w:tc>
          <w:tcPr>
            <w:tcW w:w="1247" w:type="dxa"/>
          </w:tcPr>
          <w:p w:rsidR="001D07D6" w:rsidRPr="001D07D6" w:rsidRDefault="001D07D6" w:rsidP="007B1CFA">
            <w:pPr>
              <w:pStyle w:val="TableParagraph"/>
              <w:spacing w:before="34" w:line="192" w:lineRule="auto"/>
              <w:ind w:left="57" w:right="266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z w:val="19"/>
              </w:rPr>
              <w:t>Damaged flooring</w:t>
            </w:r>
            <w:r w:rsidR="007B1CFA">
              <w:rPr>
                <w:rFonts w:asciiTheme="minorHAnsi" w:hAnsiTheme="minorHAnsi" w:cstheme="minorHAnsi"/>
                <w:sz w:val="19"/>
              </w:rPr>
              <w:br/>
            </w:r>
          </w:p>
          <w:p w:rsidR="001D07D6" w:rsidRPr="001D07D6" w:rsidRDefault="001D07D6" w:rsidP="007B1CFA">
            <w:pPr>
              <w:pStyle w:val="TableParagraph"/>
              <w:spacing w:before="83" w:line="192" w:lineRule="auto"/>
              <w:ind w:left="57" w:right="28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z w:val="19"/>
              </w:rPr>
              <w:t>Wet floors and spillages</w:t>
            </w:r>
            <w:r w:rsidR="007B1CFA">
              <w:rPr>
                <w:rFonts w:asciiTheme="minorHAnsi" w:hAnsiTheme="minorHAnsi" w:cstheme="minorHAnsi"/>
                <w:sz w:val="19"/>
              </w:rPr>
              <w:br/>
            </w:r>
          </w:p>
          <w:p w:rsidR="001D07D6" w:rsidRPr="001D07D6" w:rsidRDefault="001D07D6" w:rsidP="00A34925">
            <w:pPr>
              <w:pStyle w:val="TableParagraph"/>
              <w:spacing w:before="83" w:line="211" w:lineRule="auto"/>
              <w:ind w:left="56" w:right="531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z w:val="19"/>
              </w:rPr>
              <w:t>Trailing cables</w:t>
            </w:r>
          </w:p>
        </w:tc>
        <w:tc>
          <w:tcPr>
            <w:tcW w:w="907" w:type="dxa"/>
          </w:tcPr>
          <w:p w:rsidR="001D07D6" w:rsidRPr="001D07D6" w:rsidRDefault="001D07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</w:tcPr>
          <w:p w:rsidR="001D07D6" w:rsidRPr="001D07D6" w:rsidRDefault="001D07D6">
            <w:pPr>
              <w:pStyle w:val="TableParagraph"/>
              <w:spacing w:before="34" w:line="211" w:lineRule="auto"/>
              <w:ind w:left="56" w:right="269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z w:val="19"/>
              </w:rPr>
              <w:t>Slips, trips, falls</w:t>
            </w:r>
          </w:p>
        </w:tc>
        <w:tc>
          <w:tcPr>
            <w:tcW w:w="1058" w:type="dxa"/>
          </w:tcPr>
          <w:p w:rsidR="001D07D6" w:rsidRPr="001D07D6" w:rsidRDefault="001D07D6">
            <w:pPr>
              <w:pStyle w:val="TableParagraph"/>
              <w:spacing w:before="10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85" w:type="dxa"/>
          </w:tcPr>
          <w:p w:rsidR="001D07D6" w:rsidRPr="001D07D6" w:rsidRDefault="00075B4E">
            <w:pPr>
              <w:pStyle w:val="TableParagraph"/>
              <w:spacing w:before="11"/>
              <w:ind w:left="57"/>
              <w:rPr>
                <w:rFonts w:asciiTheme="minorHAnsi" w:hAnsiTheme="minorHAnsi" w:cstheme="minorHAnsi"/>
                <w:b/>
                <w:sz w:val="19"/>
              </w:rPr>
            </w:pPr>
            <w:hyperlink r:id="rId6">
              <w:r w:rsidR="001D07D6" w:rsidRPr="001D07D6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See Slips, Trips, and Falls – Template No. 12</w:t>
              </w:r>
            </w:hyperlink>
          </w:p>
        </w:tc>
        <w:tc>
          <w:tcPr>
            <w:tcW w:w="908" w:type="dxa"/>
          </w:tcPr>
          <w:p w:rsidR="001D07D6" w:rsidRPr="001D07D6" w:rsidRDefault="001D07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:rsidR="001D07D6" w:rsidRPr="001D07D6" w:rsidRDefault="001D07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1D07D6" w:rsidRPr="001D07D6" w:rsidRDefault="001D07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1D07D6" w:rsidRPr="001D07D6" w:rsidRDefault="001D07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D07D6" w:rsidRPr="001D07D6" w:rsidTr="00685086">
        <w:trPr>
          <w:trHeight w:val="888"/>
        </w:trPr>
        <w:tc>
          <w:tcPr>
            <w:tcW w:w="1247" w:type="dxa"/>
          </w:tcPr>
          <w:p w:rsidR="001D07D6" w:rsidRPr="001D07D6" w:rsidRDefault="001D07D6">
            <w:pPr>
              <w:pStyle w:val="TableParagraph"/>
              <w:spacing w:before="10"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z w:val="19"/>
              </w:rPr>
              <w:t>Toppling</w:t>
            </w:r>
          </w:p>
          <w:p w:rsidR="001D07D6" w:rsidRPr="001D07D6" w:rsidRDefault="001D07D6" w:rsidP="006275EA">
            <w:pPr>
              <w:pStyle w:val="TableParagraph"/>
              <w:spacing w:line="171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z w:val="19"/>
              </w:rPr>
              <w:t>items</w:t>
            </w:r>
          </w:p>
        </w:tc>
        <w:tc>
          <w:tcPr>
            <w:tcW w:w="907" w:type="dxa"/>
          </w:tcPr>
          <w:p w:rsidR="001D07D6" w:rsidRPr="001D07D6" w:rsidRDefault="001D07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</w:tcPr>
          <w:p w:rsidR="001D07D6" w:rsidRPr="001D07D6" w:rsidRDefault="001D07D6">
            <w:pPr>
              <w:pStyle w:val="TableParagraph"/>
              <w:spacing w:before="10" w:line="212" w:lineRule="exact"/>
              <w:ind w:left="57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z w:val="19"/>
              </w:rPr>
              <w:t>Toppling</w:t>
            </w:r>
          </w:p>
          <w:p w:rsidR="001D07D6" w:rsidRPr="001D07D6" w:rsidRDefault="001D07D6">
            <w:pPr>
              <w:pStyle w:val="TableParagraph"/>
              <w:spacing w:line="171" w:lineRule="exact"/>
              <w:ind w:left="57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pacing w:val="-5"/>
                <w:sz w:val="19"/>
              </w:rPr>
              <w:t xml:space="preserve">items, </w:t>
            </w:r>
            <w:r w:rsidRPr="001D07D6">
              <w:rPr>
                <w:rFonts w:asciiTheme="minorHAnsi" w:hAnsiTheme="minorHAnsi" w:cstheme="minorHAnsi"/>
                <w:spacing w:val="-6"/>
                <w:sz w:val="19"/>
              </w:rPr>
              <w:t>striking</w:t>
            </w:r>
          </w:p>
          <w:p w:rsidR="001D07D6" w:rsidRPr="001D07D6" w:rsidRDefault="001D07D6">
            <w:pPr>
              <w:pStyle w:val="TableParagraph"/>
              <w:spacing w:line="168" w:lineRule="exact"/>
              <w:ind w:left="57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z w:val="19"/>
              </w:rPr>
              <w:t>individuals,</w:t>
            </w:r>
          </w:p>
          <w:p w:rsidR="001D07D6" w:rsidRPr="001D07D6" w:rsidRDefault="001D07D6" w:rsidP="00A0498C">
            <w:pPr>
              <w:pStyle w:val="TableParagraph"/>
              <w:spacing w:line="187" w:lineRule="exact"/>
              <w:ind w:left="57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z w:val="19"/>
              </w:rPr>
              <w:t>trips and falls</w:t>
            </w:r>
          </w:p>
        </w:tc>
        <w:tc>
          <w:tcPr>
            <w:tcW w:w="1058" w:type="dxa"/>
          </w:tcPr>
          <w:p w:rsidR="001D07D6" w:rsidRPr="001D07D6" w:rsidRDefault="001D07D6">
            <w:pPr>
              <w:pStyle w:val="TableParagraph"/>
              <w:spacing w:before="10" w:line="212" w:lineRule="exact"/>
              <w:ind w:left="55"/>
              <w:jc w:val="center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385" w:type="dxa"/>
          </w:tcPr>
          <w:p w:rsidR="001D07D6" w:rsidRPr="001D07D6" w:rsidRDefault="001D07D6">
            <w:pPr>
              <w:pStyle w:val="TableParagraph"/>
              <w:spacing w:before="10" w:line="212" w:lineRule="exact"/>
              <w:ind w:left="57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z w:val="19"/>
              </w:rPr>
              <w:t>Items stored appropriately on shelves and in</w:t>
            </w:r>
          </w:p>
          <w:p w:rsidR="001D07D6" w:rsidRPr="001D07D6" w:rsidRDefault="001D07D6" w:rsidP="00685086">
            <w:pPr>
              <w:pStyle w:val="TableParagraph"/>
              <w:spacing w:line="171" w:lineRule="exact"/>
              <w:ind w:left="57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pacing w:val="-5"/>
                <w:sz w:val="19"/>
              </w:rPr>
              <w:t xml:space="preserve">cupboards </w:t>
            </w:r>
            <w:r w:rsidRPr="001D07D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D07D6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1D07D6">
              <w:rPr>
                <w:rFonts w:asciiTheme="minorHAnsi" w:hAnsiTheme="minorHAnsi" w:cstheme="minorHAnsi"/>
                <w:spacing w:val="-5"/>
                <w:sz w:val="19"/>
              </w:rPr>
              <w:t xml:space="preserve">toppling </w:t>
            </w:r>
            <w:r w:rsidRPr="001D07D6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D07D6">
              <w:rPr>
                <w:rFonts w:asciiTheme="minorHAnsi" w:hAnsiTheme="minorHAnsi" w:cstheme="minorHAnsi"/>
                <w:spacing w:val="-5"/>
                <w:sz w:val="19"/>
              </w:rPr>
              <w:t xml:space="preserve">unsafe </w:t>
            </w:r>
            <w:r w:rsidRPr="001D07D6">
              <w:rPr>
                <w:rFonts w:asciiTheme="minorHAnsi" w:hAnsiTheme="minorHAnsi" w:cstheme="minorHAnsi"/>
                <w:spacing w:val="-6"/>
                <w:sz w:val="19"/>
              </w:rPr>
              <w:t>access</w:t>
            </w:r>
          </w:p>
        </w:tc>
        <w:tc>
          <w:tcPr>
            <w:tcW w:w="908" w:type="dxa"/>
          </w:tcPr>
          <w:p w:rsidR="001D07D6" w:rsidRPr="001D07D6" w:rsidRDefault="001D07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:rsidR="001D07D6" w:rsidRPr="001D07D6" w:rsidRDefault="001D07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1D07D6" w:rsidRPr="001D07D6" w:rsidRDefault="001D07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1D07D6" w:rsidRPr="001D07D6" w:rsidRDefault="001D07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02E0D" w:rsidRPr="001D07D6">
        <w:trPr>
          <w:trHeight w:val="689"/>
        </w:trPr>
        <w:tc>
          <w:tcPr>
            <w:tcW w:w="1247" w:type="dxa"/>
          </w:tcPr>
          <w:p w:rsidR="00002E0D" w:rsidRPr="001D07D6" w:rsidRDefault="00D174A3">
            <w:pPr>
              <w:pStyle w:val="TableParagraph"/>
              <w:spacing w:before="34" w:line="211" w:lineRule="auto"/>
              <w:ind w:left="56" w:right="284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z w:val="19"/>
              </w:rPr>
              <w:t>Accessing high windows</w:t>
            </w:r>
          </w:p>
        </w:tc>
        <w:tc>
          <w:tcPr>
            <w:tcW w:w="907" w:type="dxa"/>
          </w:tcPr>
          <w:p w:rsidR="00002E0D" w:rsidRPr="001D07D6" w:rsidRDefault="00002E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</w:tcPr>
          <w:p w:rsidR="00002E0D" w:rsidRPr="001D07D6" w:rsidRDefault="00D174A3">
            <w:pPr>
              <w:pStyle w:val="TableParagraph"/>
              <w:spacing w:before="34" w:line="211" w:lineRule="auto"/>
              <w:ind w:left="57" w:right="315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z w:val="19"/>
              </w:rPr>
              <w:t>Falls from height</w:t>
            </w:r>
          </w:p>
        </w:tc>
        <w:tc>
          <w:tcPr>
            <w:tcW w:w="1058" w:type="dxa"/>
          </w:tcPr>
          <w:p w:rsidR="00002E0D" w:rsidRPr="001D07D6" w:rsidRDefault="00D174A3">
            <w:pPr>
              <w:pStyle w:val="TableParagraph"/>
              <w:spacing w:before="10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385" w:type="dxa"/>
          </w:tcPr>
          <w:p w:rsidR="00002E0D" w:rsidRPr="001D07D6" w:rsidRDefault="00D174A3">
            <w:pPr>
              <w:pStyle w:val="TableParagraph"/>
              <w:spacing w:before="34" w:line="211" w:lineRule="auto"/>
              <w:ind w:left="57" w:right="489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pacing w:val="-5"/>
                <w:sz w:val="19"/>
              </w:rPr>
              <w:t xml:space="preserve">Window </w:t>
            </w:r>
            <w:r w:rsidRPr="001D07D6">
              <w:rPr>
                <w:rFonts w:asciiTheme="minorHAnsi" w:hAnsiTheme="minorHAnsi" w:cstheme="minorHAnsi"/>
                <w:spacing w:val="-4"/>
                <w:sz w:val="19"/>
              </w:rPr>
              <w:t xml:space="preserve">pole </w:t>
            </w:r>
            <w:r w:rsidRPr="001D07D6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1D07D6">
              <w:rPr>
                <w:rFonts w:asciiTheme="minorHAnsi" w:hAnsiTheme="minorHAnsi" w:cstheme="minorHAnsi"/>
                <w:spacing w:val="-5"/>
                <w:sz w:val="19"/>
              </w:rPr>
              <w:t xml:space="preserve">step ladder </w:t>
            </w:r>
            <w:r w:rsidRPr="001D07D6">
              <w:rPr>
                <w:rFonts w:asciiTheme="minorHAnsi" w:hAnsiTheme="minorHAnsi" w:cstheme="minorHAnsi"/>
                <w:spacing w:val="-4"/>
                <w:sz w:val="19"/>
              </w:rPr>
              <w:t xml:space="preserve">used to </w:t>
            </w:r>
            <w:r w:rsidRPr="001D07D6">
              <w:rPr>
                <w:rFonts w:asciiTheme="minorHAnsi" w:hAnsiTheme="minorHAnsi" w:cstheme="minorHAnsi"/>
                <w:spacing w:val="-5"/>
                <w:sz w:val="19"/>
              </w:rPr>
              <w:t xml:space="preserve">open windows </w:t>
            </w:r>
            <w:r w:rsidRPr="001D07D6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1D07D6">
              <w:rPr>
                <w:rFonts w:asciiTheme="minorHAnsi" w:hAnsiTheme="minorHAnsi" w:cstheme="minorHAnsi"/>
                <w:spacing w:val="-5"/>
                <w:sz w:val="19"/>
              </w:rPr>
              <w:t xml:space="preserve">height </w:t>
            </w:r>
            <w:r w:rsidRPr="001D07D6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1D07D6">
              <w:rPr>
                <w:rFonts w:asciiTheme="minorHAnsi" w:hAnsiTheme="minorHAnsi" w:cstheme="minorHAnsi"/>
                <w:spacing w:val="-3"/>
                <w:sz w:val="19"/>
              </w:rPr>
              <w:t xml:space="preserve">do </w:t>
            </w:r>
            <w:r w:rsidRPr="001D07D6">
              <w:rPr>
                <w:rFonts w:asciiTheme="minorHAnsi" w:hAnsiTheme="minorHAnsi" w:cstheme="minorHAnsi"/>
                <w:spacing w:val="-4"/>
                <w:sz w:val="19"/>
              </w:rPr>
              <w:t xml:space="preserve">not have </w:t>
            </w:r>
            <w:r w:rsidRPr="001D07D6">
              <w:rPr>
                <w:rFonts w:asciiTheme="minorHAnsi" w:hAnsiTheme="minorHAnsi" w:cstheme="minorHAnsi"/>
                <w:spacing w:val="-5"/>
                <w:sz w:val="19"/>
              </w:rPr>
              <w:t xml:space="preserve">opening mechanism </w:t>
            </w:r>
            <w:r w:rsidRPr="001D07D6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1D07D6">
              <w:rPr>
                <w:rFonts w:asciiTheme="minorHAnsi" w:hAnsiTheme="minorHAnsi" w:cstheme="minorHAnsi"/>
                <w:spacing w:val="-6"/>
                <w:sz w:val="19"/>
              </w:rPr>
              <w:t xml:space="preserve">ground </w:t>
            </w:r>
            <w:r w:rsidRPr="001D07D6">
              <w:rPr>
                <w:rFonts w:asciiTheme="minorHAnsi" w:hAnsiTheme="minorHAnsi" w:cstheme="minorHAnsi"/>
                <w:spacing w:val="-5"/>
                <w:sz w:val="19"/>
              </w:rPr>
              <w:t>level</w:t>
            </w:r>
          </w:p>
        </w:tc>
        <w:tc>
          <w:tcPr>
            <w:tcW w:w="908" w:type="dxa"/>
          </w:tcPr>
          <w:p w:rsidR="00002E0D" w:rsidRPr="001D07D6" w:rsidRDefault="00002E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:rsidR="00002E0D" w:rsidRPr="001D07D6" w:rsidRDefault="00002E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002E0D" w:rsidRPr="001D07D6" w:rsidRDefault="00002E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002E0D" w:rsidRPr="001D07D6" w:rsidRDefault="00002E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D07D6" w:rsidRPr="001D07D6" w:rsidTr="00F450C7">
        <w:trPr>
          <w:trHeight w:val="489"/>
        </w:trPr>
        <w:tc>
          <w:tcPr>
            <w:tcW w:w="1247" w:type="dxa"/>
            <w:vMerge w:val="restart"/>
          </w:tcPr>
          <w:p w:rsidR="001D07D6" w:rsidRPr="001D07D6" w:rsidRDefault="001D07D6">
            <w:pPr>
              <w:pStyle w:val="TableParagraph"/>
              <w:spacing w:before="34" w:line="211" w:lineRule="auto"/>
              <w:ind w:left="57" w:right="31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z w:val="19"/>
              </w:rPr>
              <w:t>Defective portable electrical equipment</w:t>
            </w:r>
          </w:p>
        </w:tc>
        <w:tc>
          <w:tcPr>
            <w:tcW w:w="907" w:type="dxa"/>
            <w:vMerge w:val="restart"/>
          </w:tcPr>
          <w:p w:rsidR="001D07D6" w:rsidRPr="001D07D6" w:rsidRDefault="001D07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  <w:vMerge w:val="restart"/>
          </w:tcPr>
          <w:p w:rsidR="001D07D6" w:rsidRPr="001D07D6" w:rsidRDefault="001D07D6">
            <w:pPr>
              <w:pStyle w:val="TableParagraph"/>
              <w:spacing w:before="35" w:line="211" w:lineRule="auto"/>
              <w:ind w:left="57" w:right="-5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z w:val="19"/>
              </w:rPr>
              <w:t>Electrocution Burns</w:t>
            </w:r>
          </w:p>
          <w:p w:rsidR="001D07D6" w:rsidRPr="001D07D6" w:rsidRDefault="001D07D6">
            <w:pPr>
              <w:pStyle w:val="TableParagraph"/>
              <w:spacing w:before="174"/>
              <w:ind w:left="57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z w:val="19"/>
              </w:rPr>
              <w:t>Cuts</w:t>
            </w:r>
          </w:p>
        </w:tc>
        <w:tc>
          <w:tcPr>
            <w:tcW w:w="1058" w:type="dxa"/>
          </w:tcPr>
          <w:p w:rsidR="001D07D6" w:rsidRPr="001D07D6" w:rsidRDefault="001D07D6">
            <w:pPr>
              <w:pStyle w:val="TableParagraph"/>
              <w:spacing w:before="11"/>
              <w:ind w:left="18"/>
              <w:jc w:val="center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z w:val="19"/>
              </w:rPr>
              <w:t>L</w:t>
            </w:r>
          </w:p>
        </w:tc>
        <w:tc>
          <w:tcPr>
            <w:tcW w:w="4385" w:type="dxa"/>
          </w:tcPr>
          <w:p w:rsidR="001D07D6" w:rsidRPr="001D07D6" w:rsidRDefault="001D07D6">
            <w:pPr>
              <w:pStyle w:val="TableParagraph"/>
              <w:spacing w:before="35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pacing w:val="-5"/>
                <w:sz w:val="19"/>
              </w:rPr>
              <w:t xml:space="preserve">Portable electrical appliances visually </w:t>
            </w:r>
            <w:r w:rsidRPr="001D07D6">
              <w:rPr>
                <w:rFonts w:asciiTheme="minorHAnsi" w:hAnsiTheme="minorHAnsi" w:cstheme="minorHAnsi"/>
                <w:spacing w:val="-6"/>
                <w:sz w:val="19"/>
              </w:rPr>
              <w:t xml:space="preserve">inspected </w:t>
            </w:r>
            <w:r w:rsidRPr="001D07D6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1D07D6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</w:tc>
        <w:tc>
          <w:tcPr>
            <w:tcW w:w="908" w:type="dxa"/>
            <w:vMerge w:val="restart"/>
          </w:tcPr>
          <w:p w:rsidR="001D07D6" w:rsidRPr="001D07D6" w:rsidRDefault="001D07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1D07D6" w:rsidRPr="001D07D6" w:rsidRDefault="001D07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1D07D6" w:rsidRPr="001D07D6" w:rsidRDefault="001D07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1D07D6" w:rsidRPr="001D07D6" w:rsidRDefault="001D07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D07D6" w:rsidRPr="001D07D6" w:rsidTr="00F450C7">
        <w:trPr>
          <w:trHeight w:val="742"/>
        </w:trPr>
        <w:tc>
          <w:tcPr>
            <w:tcW w:w="1247" w:type="dxa"/>
            <w:vMerge/>
          </w:tcPr>
          <w:p w:rsidR="001D07D6" w:rsidRPr="001D07D6" w:rsidRDefault="001D07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1D07D6" w:rsidRPr="001D07D6" w:rsidRDefault="001D07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</w:tcPr>
          <w:p w:rsidR="001D07D6" w:rsidRPr="001D07D6" w:rsidRDefault="001D07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58" w:type="dxa"/>
            <w:vMerge w:val="restart"/>
          </w:tcPr>
          <w:p w:rsidR="001D07D6" w:rsidRPr="001D07D6" w:rsidRDefault="001D07D6">
            <w:pPr>
              <w:pStyle w:val="TableParagraph"/>
              <w:spacing w:before="11"/>
              <w:ind w:left="12"/>
              <w:jc w:val="center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85" w:type="dxa"/>
            <w:tcBorders>
              <w:bottom w:val="nil"/>
            </w:tcBorders>
          </w:tcPr>
          <w:p w:rsidR="001D07D6" w:rsidRPr="001D07D6" w:rsidRDefault="001D07D6">
            <w:pPr>
              <w:pStyle w:val="TableParagraph"/>
              <w:spacing w:before="35" w:line="211" w:lineRule="auto"/>
              <w:ind w:left="57" w:right="489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pacing w:val="-6"/>
                <w:sz w:val="19"/>
              </w:rPr>
              <w:t xml:space="preserve">Defective </w:t>
            </w:r>
            <w:r w:rsidRPr="001D07D6">
              <w:rPr>
                <w:rFonts w:asciiTheme="minorHAnsi" w:hAnsiTheme="minorHAnsi" w:cstheme="minorHAnsi"/>
                <w:spacing w:val="-5"/>
                <w:sz w:val="19"/>
              </w:rPr>
              <w:t xml:space="preserve">electrical equipment </w:t>
            </w:r>
            <w:r w:rsidRPr="001D07D6">
              <w:rPr>
                <w:rFonts w:asciiTheme="minorHAnsi" w:hAnsiTheme="minorHAnsi" w:cstheme="minorHAnsi"/>
                <w:spacing w:val="-4"/>
                <w:sz w:val="19"/>
              </w:rPr>
              <w:t xml:space="preserve">shall </w:t>
            </w:r>
            <w:r w:rsidRPr="001D07D6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1D07D6">
              <w:rPr>
                <w:rFonts w:asciiTheme="minorHAnsi" w:hAnsiTheme="minorHAnsi" w:cstheme="minorHAnsi"/>
                <w:spacing w:val="-5"/>
                <w:sz w:val="19"/>
              </w:rPr>
              <w:t xml:space="preserve">clearly identified, labelled </w:t>
            </w:r>
            <w:r w:rsidRPr="001D07D6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1D07D6">
              <w:rPr>
                <w:rFonts w:asciiTheme="minorHAnsi" w:hAnsiTheme="minorHAnsi" w:cstheme="minorHAnsi"/>
                <w:spacing w:val="-6"/>
                <w:sz w:val="19"/>
              </w:rPr>
              <w:t xml:space="preserve">‘out </w:t>
            </w:r>
            <w:r w:rsidRPr="001D07D6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1D07D6">
              <w:rPr>
                <w:rFonts w:asciiTheme="minorHAnsi" w:hAnsiTheme="minorHAnsi" w:cstheme="minorHAnsi"/>
                <w:spacing w:val="-6"/>
                <w:sz w:val="19"/>
              </w:rPr>
              <w:t xml:space="preserve">use’ </w:t>
            </w:r>
            <w:r w:rsidRPr="001D07D6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1D07D6">
              <w:rPr>
                <w:rFonts w:asciiTheme="minorHAnsi" w:hAnsiTheme="minorHAnsi" w:cstheme="minorHAnsi"/>
                <w:spacing w:val="-7"/>
                <w:sz w:val="19"/>
              </w:rPr>
              <w:t xml:space="preserve">stored </w:t>
            </w:r>
            <w:r w:rsidRPr="001D07D6">
              <w:rPr>
                <w:rFonts w:asciiTheme="minorHAnsi" w:hAnsiTheme="minorHAnsi" w:cstheme="minorHAnsi"/>
                <w:spacing w:val="-6"/>
                <w:sz w:val="19"/>
              </w:rPr>
              <w:t xml:space="preserve">separately </w:t>
            </w:r>
            <w:r w:rsidRPr="001D07D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D07D6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1D07D6">
              <w:rPr>
                <w:rFonts w:asciiTheme="minorHAnsi" w:hAnsiTheme="minorHAnsi" w:cstheme="minorHAnsi"/>
                <w:spacing w:val="-5"/>
                <w:sz w:val="19"/>
              </w:rPr>
              <w:t>accidental use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1D07D6" w:rsidRPr="001D07D6" w:rsidRDefault="001D07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D07D6" w:rsidRPr="001D07D6" w:rsidRDefault="001D07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D07D6" w:rsidRPr="001D07D6" w:rsidRDefault="001D07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D07D6" w:rsidRPr="001D07D6" w:rsidRDefault="001D07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D07D6" w:rsidRPr="001D07D6" w:rsidTr="00F450C7">
        <w:trPr>
          <w:trHeight w:val="783"/>
        </w:trPr>
        <w:tc>
          <w:tcPr>
            <w:tcW w:w="1247" w:type="dxa"/>
            <w:vMerge/>
          </w:tcPr>
          <w:p w:rsidR="001D07D6" w:rsidRPr="001D07D6" w:rsidRDefault="001D07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1D07D6" w:rsidRPr="001D07D6" w:rsidRDefault="001D07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</w:tcPr>
          <w:p w:rsidR="001D07D6" w:rsidRPr="001D07D6" w:rsidRDefault="001D07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58" w:type="dxa"/>
            <w:vMerge/>
          </w:tcPr>
          <w:p w:rsidR="001D07D6" w:rsidRPr="001D07D6" w:rsidRDefault="001D07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D07D6" w:rsidRPr="001D07D6" w:rsidRDefault="001D07D6">
            <w:pPr>
              <w:pStyle w:val="TableParagraph"/>
              <w:spacing w:before="83" w:line="211" w:lineRule="auto"/>
              <w:ind w:left="57" w:right="69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pacing w:val="-6"/>
                <w:sz w:val="19"/>
              </w:rPr>
              <w:t xml:space="preserve">Defects are reported </w:t>
            </w:r>
            <w:r w:rsidRPr="001D07D6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1D07D6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1D07D6">
              <w:rPr>
                <w:rFonts w:asciiTheme="minorHAnsi" w:hAnsiTheme="minorHAnsi" w:cstheme="minorHAnsi"/>
                <w:spacing w:val="-5"/>
                <w:sz w:val="19"/>
              </w:rPr>
              <w:t xml:space="preserve">person, </w:t>
            </w:r>
            <w:r w:rsidRPr="001D07D6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1D07D6">
              <w:rPr>
                <w:rFonts w:asciiTheme="minorHAnsi" w:hAnsiTheme="minorHAnsi" w:cstheme="minorHAnsi"/>
                <w:spacing w:val="-6"/>
                <w:sz w:val="19"/>
              </w:rPr>
              <w:t xml:space="preserve">caretaker/facilities </w:t>
            </w:r>
            <w:r w:rsidRPr="001D07D6">
              <w:rPr>
                <w:rFonts w:asciiTheme="minorHAnsi" w:hAnsiTheme="minorHAnsi" w:cstheme="minorHAnsi"/>
                <w:spacing w:val="-5"/>
                <w:sz w:val="19"/>
              </w:rPr>
              <w:t xml:space="preserve">manager </w:t>
            </w:r>
            <w:r w:rsidRPr="001D07D6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1D07D6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1D07D6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1D07D6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1D07D6">
              <w:rPr>
                <w:rFonts w:asciiTheme="minorHAnsi" w:hAnsiTheme="minorHAnsi" w:cstheme="minorHAnsi"/>
                <w:spacing w:val="-6"/>
                <w:sz w:val="19"/>
              </w:rPr>
              <w:t xml:space="preserve">are repaired </w:t>
            </w:r>
            <w:r w:rsidRPr="001D07D6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1D07D6">
              <w:rPr>
                <w:rFonts w:asciiTheme="minorHAnsi" w:hAnsiTheme="minorHAnsi" w:cstheme="minorHAnsi"/>
                <w:spacing w:val="-6"/>
                <w:sz w:val="19"/>
              </w:rPr>
              <w:t>replaced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1D07D6" w:rsidRPr="001D07D6" w:rsidRDefault="001D07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D07D6" w:rsidRPr="001D07D6" w:rsidRDefault="001D07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D07D6" w:rsidRPr="001D07D6" w:rsidRDefault="001D07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D07D6" w:rsidRPr="001D07D6" w:rsidRDefault="001D07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D07D6" w:rsidRPr="001D07D6" w:rsidTr="00F450C7">
        <w:trPr>
          <w:trHeight w:val="543"/>
        </w:trPr>
        <w:tc>
          <w:tcPr>
            <w:tcW w:w="1247" w:type="dxa"/>
            <w:vMerge/>
          </w:tcPr>
          <w:p w:rsidR="001D07D6" w:rsidRPr="001D07D6" w:rsidRDefault="001D07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1D07D6" w:rsidRPr="001D07D6" w:rsidRDefault="001D07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</w:tcPr>
          <w:p w:rsidR="001D07D6" w:rsidRPr="001D07D6" w:rsidRDefault="001D07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58" w:type="dxa"/>
            <w:vMerge/>
          </w:tcPr>
          <w:p w:rsidR="001D07D6" w:rsidRPr="001D07D6" w:rsidRDefault="001D07D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85" w:type="dxa"/>
            <w:tcBorders>
              <w:top w:val="nil"/>
            </w:tcBorders>
          </w:tcPr>
          <w:p w:rsidR="001D07D6" w:rsidRPr="001D07D6" w:rsidRDefault="00075B4E">
            <w:pPr>
              <w:pStyle w:val="TableParagraph"/>
              <w:spacing w:before="90" w:line="211" w:lineRule="auto"/>
              <w:ind w:left="57" w:right="119"/>
              <w:rPr>
                <w:rFonts w:asciiTheme="minorHAnsi" w:hAnsiTheme="minorHAnsi" w:cstheme="minorHAnsi"/>
                <w:b/>
                <w:sz w:val="19"/>
              </w:rPr>
            </w:pPr>
            <w:hyperlink r:id="rId7">
              <w:r w:rsidR="001D07D6" w:rsidRPr="001D07D6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See Portable Electrical </w:t>
              </w:r>
              <w:r w:rsidR="001D07D6" w:rsidRPr="001D07D6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Appliances </w:t>
              </w:r>
              <w:r w:rsidR="001D07D6" w:rsidRPr="001D07D6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– </w:t>
              </w:r>
              <w:r w:rsidR="001D07D6" w:rsidRPr="001D07D6">
                <w:rPr>
                  <w:rFonts w:asciiTheme="minorHAnsi" w:hAnsiTheme="minorHAnsi" w:cstheme="minorHAnsi"/>
                  <w:b/>
                  <w:color w:val="EE7625"/>
                  <w:spacing w:val="-5"/>
                  <w:sz w:val="19"/>
                </w:rPr>
                <w:t xml:space="preserve">Template </w:t>
              </w:r>
              <w:r w:rsidR="001D07D6" w:rsidRPr="001D07D6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No. </w:t>
              </w:r>
              <w:r w:rsidR="001D07D6" w:rsidRPr="001D07D6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22</w:t>
              </w:r>
            </w:hyperlink>
          </w:p>
        </w:tc>
        <w:tc>
          <w:tcPr>
            <w:tcW w:w="908" w:type="dxa"/>
            <w:vMerge/>
            <w:tcBorders>
              <w:top w:val="nil"/>
            </w:tcBorders>
          </w:tcPr>
          <w:p w:rsidR="001D07D6" w:rsidRPr="001D07D6" w:rsidRDefault="001D07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D07D6" w:rsidRPr="001D07D6" w:rsidRDefault="001D07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D07D6" w:rsidRPr="001D07D6" w:rsidRDefault="001D07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D07D6" w:rsidRPr="001D07D6" w:rsidRDefault="001D07D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02E0D" w:rsidRPr="001D07D6">
        <w:trPr>
          <w:trHeight w:val="689"/>
        </w:trPr>
        <w:tc>
          <w:tcPr>
            <w:tcW w:w="1247" w:type="dxa"/>
          </w:tcPr>
          <w:p w:rsidR="00002E0D" w:rsidRPr="001D07D6" w:rsidRDefault="00D174A3">
            <w:pPr>
              <w:pStyle w:val="TableParagraph"/>
              <w:spacing w:before="11"/>
              <w:ind w:left="57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z w:val="19"/>
              </w:rPr>
              <w:t>Fire</w:t>
            </w:r>
          </w:p>
        </w:tc>
        <w:tc>
          <w:tcPr>
            <w:tcW w:w="907" w:type="dxa"/>
          </w:tcPr>
          <w:p w:rsidR="00002E0D" w:rsidRPr="001D07D6" w:rsidRDefault="00002E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</w:tcPr>
          <w:p w:rsidR="00002E0D" w:rsidRPr="001D07D6" w:rsidRDefault="00D174A3">
            <w:pPr>
              <w:pStyle w:val="TableParagraph"/>
              <w:spacing w:before="35" w:line="211" w:lineRule="auto"/>
              <w:ind w:left="57" w:right="264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z w:val="19"/>
              </w:rPr>
              <w:t>Smoke inhalation, burns</w:t>
            </w:r>
          </w:p>
        </w:tc>
        <w:tc>
          <w:tcPr>
            <w:tcW w:w="1058" w:type="dxa"/>
          </w:tcPr>
          <w:p w:rsidR="00002E0D" w:rsidRPr="001D07D6" w:rsidRDefault="00D174A3">
            <w:pPr>
              <w:pStyle w:val="TableParagraph"/>
              <w:spacing w:before="11"/>
              <w:ind w:left="12"/>
              <w:jc w:val="center"/>
              <w:rPr>
                <w:rFonts w:asciiTheme="minorHAnsi" w:hAnsiTheme="minorHAnsi" w:cstheme="minorHAnsi"/>
                <w:sz w:val="19"/>
              </w:rPr>
            </w:pPr>
            <w:r w:rsidRPr="001D07D6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385" w:type="dxa"/>
          </w:tcPr>
          <w:p w:rsidR="00002E0D" w:rsidRPr="001D07D6" w:rsidRDefault="00075B4E">
            <w:pPr>
              <w:pStyle w:val="TableParagraph"/>
              <w:spacing w:before="36" w:line="211" w:lineRule="auto"/>
              <w:ind w:left="58" w:right="388"/>
              <w:rPr>
                <w:rFonts w:asciiTheme="minorHAnsi" w:hAnsiTheme="minorHAnsi" w:cstheme="minorHAnsi"/>
                <w:b/>
                <w:sz w:val="19"/>
              </w:rPr>
            </w:pPr>
            <w:hyperlink r:id="rId8">
              <w:r w:rsidR="00D174A3" w:rsidRPr="001D07D6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See </w:t>
              </w:r>
              <w:r w:rsidR="00D174A3" w:rsidRPr="001D07D6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Fire </w:t>
              </w:r>
              <w:r w:rsidR="00D174A3" w:rsidRPr="001D07D6">
                <w:rPr>
                  <w:rFonts w:asciiTheme="minorHAnsi" w:hAnsiTheme="minorHAnsi" w:cstheme="minorHAnsi"/>
                  <w:b/>
                  <w:color w:val="EE7625"/>
                  <w:spacing w:val="-4"/>
                  <w:sz w:val="19"/>
                </w:rPr>
                <w:t xml:space="preserve">(General </w:t>
              </w:r>
              <w:r w:rsidR="00D174A3" w:rsidRPr="001D07D6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Classrooms </w:t>
              </w:r>
              <w:r w:rsidR="00D174A3" w:rsidRPr="001D07D6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and </w:t>
              </w:r>
              <w:r w:rsidR="00D174A3" w:rsidRPr="001D07D6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Offices) </w:t>
              </w:r>
              <w:r w:rsidR="00D174A3" w:rsidRPr="001D07D6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– </w:t>
              </w:r>
              <w:r w:rsidR="00D174A3" w:rsidRPr="001D07D6">
                <w:rPr>
                  <w:rFonts w:asciiTheme="minorHAnsi" w:hAnsiTheme="minorHAnsi" w:cstheme="minorHAnsi"/>
                  <w:b/>
                  <w:color w:val="EE7625"/>
                  <w:spacing w:val="-5"/>
                  <w:sz w:val="19"/>
                </w:rPr>
                <w:t xml:space="preserve">Template </w:t>
              </w:r>
              <w:r w:rsidR="00D174A3" w:rsidRPr="001D07D6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No. </w:t>
              </w:r>
              <w:r w:rsidR="00D174A3" w:rsidRPr="001D07D6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19</w:t>
              </w:r>
            </w:hyperlink>
            <w:bookmarkStart w:id="0" w:name="_GoBack"/>
            <w:bookmarkEnd w:id="0"/>
          </w:p>
        </w:tc>
        <w:tc>
          <w:tcPr>
            <w:tcW w:w="908" w:type="dxa"/>
          </w:tcPr>
          <w:p w:rsidR="00002E0D" w:rsidRPr="001D07D6" w:rsidRDefault="00002E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:rsidR="00002E0D" w:rsidRPr="001D07D6" w:rsidRDefault="00002E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002E0D" w:rsidRPr="001D07D6" w:rsidRDefault="00002E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002E0D" w:rsidRPr="001D07D6" w:rsidRDefault="00002E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002E0D" w:rsidRPr="001D07D6" w:rsidRDefault="00002E0D">
      <w:pPr>
        <w:pStyle w:val="Tekstpodstawowy"/>
        <w:spacing w:before="5"/>
        <w:rPr>
          <w:rFonts w:asciiTheme="minorHAnsi" w:hAnsiTheme="minorHAnsi" w:cstheme="minorHAnsi"/>
          <w:sz w:val="20"/>
        </w:rPr>
      </w:pPr>
    </w:p>
    <w:p w:rsidR="00002E0D" w:rsidRPr="001D07D6" w:rsidRDefault="00002E0D">
      <w:pPr>
        <w:rPr>
          <w:rFonts w:asciiTheme="minorHAnsi" w:hAnsiTheme="minorHAnsi" w:cstheme="minorHAnsi"/>
          <w:sz w:val="20"/>
        </w:rPr>
        <w:sectPr w:rsidR="00002E0D" w:rsidRPr="001D07D6" w:rsidSect="001D07D6">
          <w:headerReference w:type="default" r:id="rId9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002E0D" w:rsidRPr="001D07D6" w:rsidRDefault="00D174A3" w:rsidP="001D07D6">
      <w:pPr>
        <w:keepNext/>
        <w:keepLines/>
        <w:widowControl/>
        <w:spacing w:before="80" w:line="228" w:lineRule="exact"/>
        <w:ind w:left="105"/>
        <w:rPr>
          <w:rFonts w:asciiTheme="minorHAnsi" w:hAnsiTheme="minorHAnsi" w:cstheme="minorHAnsi"/>
          <w:sz w:val="19"/>
        </w:rPr>
      </w:pPr>
      <w:r w:rsidRPr="001D07D6">
        <w:rPr>
          <w:rFonts w:asciiTheme="minorHAnsi" w:hAnsiTheme="minorHAnsi" w:cstheme="minorHAnsi"/>
          <w:spacing w:val="-4"/>
          <w:sz w:val="19"/>
        </w:rPr>
        <w:t xml:space="preserve">If </w:t>
      </w:r>
      <w:r w:rsidRPr="001D07D6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1D07D6">
        <w:rPr>
          <w:rFonts w:asciiTheme="minorHAnsi" w:hAnsiTheme="minorHAnsi" w:cstheme="minorHAnsi"/>
          <w:spacing w:val="-3"/>
          <w:sz w:val="19"/>
        </w:rPr>
        <w:t xml:space="preserve">is </w:t>
      </w:r>
      <w:r w:rsidRPr="001D07D6">
        <w:rPr>
          <w:rFonts w:asciiTheme="minorHAnsi" w:hAnsiTheme="minorHAnsi" w:cstheme="minorHAnsi"/>
          <w:spacing w:val="-4"/>
          <w:sz w:val="19"/>
        </w:rPr>
        <w:t xml:space="preserve">one </w:t>
      </w:r>
      <w:r w:rsidRPr="001D07D6">
        <w:rPr>
          <w:rFonts w:asciiTheme="minorHAnsi" w:hAnsiTheme="minorHAnsi" w:cstheme="minorHAnsi"/>
          <w:spacing w:val="-3"/>
          <w:sz w:val="19"/>
        </w:rPr>
        <w:t xml:space="preserve">or </w:t>
      </w:r>
      <w:r w:rsidRPr="001D07D6">
        <w:rPr>
          <w:rFonts w:asciiTheme="minorHAnsi" w:hAnsiTheme="minorHAnsi" w:cstheme="minorHAnsi"/>
          <w:spacing w:val="-6"/>
          <w:sz w:val="19"/>
        </w:rPr>
        <w:t xml:space="preserve">more </w:t>
      </w:r>
      <w:r w:rsidRPr="001D07D6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1D07D6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1D07D6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1D07D6">
        <w:rPr>
          <w:rFonts w:asciiTheme="minorHAnsi" w:hAnsiTheme="minorHAnsi" w:cstheme="minorHAnsi"/>
          <w:spacing w:val="-5"/>
          <w:sz w:val="19"/>
        </w:rPr>
        <w:t xml:space="preserve">then </w:t>
      </w:r>
      <w:r w:rsidRPr="001D07D6">
        <w:rPr>
          <w:rFonts w:asciiTheme="minorHAnsi" w:hAnsiTheme="minorHAnsi" w:cstheme="minorHAnsi"/>
          <w:spacing w:val="-4"/>
          <w:sz w:val="19"/>
        </w:rPr>
        <w:t xml:space="preserve">the </w:t>
      </w:r>
      <w:r w:rsidRPr="001D07D6">
        <w:rPr>
          <w:rFonts w:asciiTheme="minorHAnsi" w:hAnsiTheme="minorHAnsi" w:cstheme="minorHAnsi"/>
          <w:spacing w:val="-5"/>
          <w:sz w:val="19"/>
        </w:rPr>
        <w:t xml:space="preserve">risk </w:t>
      </w:r>
      <w:r w:rsidRPr="001D07D6">
        <w:rPr>
          <w:rFonts w:asciiTheme="minorHAnsi" w:hAnsiTheme="minorHAnsi" w:cstheme="minorHAnsi"/>
          <w:spacing w:val="-4"/>
          <w:sz w:val="19"/>
        </w:rPr>
        <w:t xml:space="preserve">of </w:t>
      </w:r>
      <w:r w:rsidRPr="001D07D6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1D07D6">
        <w:rPr>
          <w:rFonts w:asciiTheme="minorHAnsi" w:hAnsiTheme="minorHAnsi" w:cstheme="minorHAnsi"/>
          <w:spacing w:val="-3"/>
          <w:sz w:val="19"/>
        </w:rPr>
        <w:t xml:space="preserve">be </w:t>
      </w:r>
      <w:r w:rsidRPr="001D07D6">
        <w:rPr>
          <w:rFonts w:asciiTheme="minorHAnsi" w:hAnsiTheme="minorHAnsi" w:cstheme="minorHAnsi"/>
          <w:spacing w:val="-5"/>
          <w:sz w:val="19"/>
        </w:rPr>
        <w:t xml:space="preserve">high </w:t>
      </w:r>
      <w:r w:rsidRPr="001D07D6">
        <w:rPr>
          <w:rFonts w:asciiTheme="minorHAnsi" w:hAnsiTheme="minorHAnsi" w:cstheme="minorHAnsi"/>
          <w:spacing w:val="-4"/>
          <w:sz w:val="19"/>
        </w:rPr>
        <w:t xml:space="preserve">and </w:t>
      </w:r>
      <w:r w:rsidRPr="001D07D6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1D07D6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1D07D6">
        <w:rPr>
          <w:rFonts w:asciiTheme="minorHAnsi" w:hAnsiTheme="minorHAnsi" w:cstheme="minorHAnsi"/>
          <w:spacing w:val="-3"/>
          <w:sz w:val="19"/>
        </w:rPr>
        <w:t xml:space="preserve">be </w:t>
      </w:r>
      <w:r w:rsidRPr="001D07D6">
        <w:rPr>
          <w:rFonts w:asciiTheme="minorHAnsi" w:hAnsiTheme="minorHAnsi" w:cstheme="minorHAnsi"/>
          <w:spacing w:val="-6"/>
          <w:sz w:val="19"/>
        </w:rPr>
        <w:t>taken.</w:t>
      </w:r>
    </w:p>
    <w:p w:rsidR="00002E0D" w:rsidRPr="001D07D6" w:rsidRDefault="00D174A3" w:rsidP="001D07D6">
      <w:pPr>
        <w:keepNext/>
        <w:keepLines/>
        <w:widowControl/>
        <w:spacing w:line="228" w:lineRule="exact"/>
        <w:ind w:left="105"/>
        <w:rPr>
          <w:rFonts w:asciiTheme="minorHAnsi" w:hAnsiTheme="minorHAnsi" w:cstheme="minorHAnsi"/>
          <w:sz w:val="19"/>
        </w:rPr>
      </w:pPr>
      <w:r w:rsidRPr="001D07D6">
        <w:rPr>
          <w:rFonts w:asciiTheme="minorHAnsi" w:hAnsiTheme="minorHAnsi" w:cstheme="minorHAnsi"/>
          <w:b/>
          <w:spacing w:val="-6"/>
          <w:sz w:val="19"/>
        </w:rPr>
        <w:t>Medium</w:t>
      </w:r>
      <w:r w:rsidRPr="001D07D6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D07D6">
        <w:rPr>
          <w:rFonts w:asciiTheme="minorHAnsi" w:hAnsiTheme="minorHAnsi" w:cstheme="minorHAnsi"/>
          <w:b/>
          <w:spacing w:val="-5"/>
          <w:sz w:val="19"/>
        </w:rPr>
        <w:t>Risk</w:t>
      </w:r>
      <w:r w:rsidRPr="001D07D6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D07D6">
        <w:rPr>
          <w:rFonts w:asciiTheme="minorHAnsi" w:hAnsiTheme="minorHAnsi" w:cstheme="minorHAnsi"/>
          <w:b/>
          <w:spacing w:val="-5"/>
          <w:sz w:val="19"/>
        </w:rPr>
        <w:t>(M)</w:t>
      </w:r>
      <w:r w:rsidRPr="001D07D6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1D07D6">
        <w:rPr>
          <w:rFonts w:asciiTheme="minorHAnsi" w:hAnsiTheme="minorHAnsi" w:cstheme="minorHAnsi"/>
          <w:spacing w:val="-6"/>
          <w:sz w:val="19"/>
        </w:rPr>
        <w:t>actions</w:t>
      </w:r>
      <w:r w:rsidRPr="001D07D6">
        <w:rPr>
          <w:rFonts w:asciiTheme="minorHAnsi" w:hAnsiTheme="minorHAnsi" w:cstheme="minorHAnsi"/>
          <w:spacing w:val="-10"/>
          <w:sz w:val="19"/>
        </w:rPr>
        <w:t xml:space="preserve"> </w:t>
      </w:r>
      <w:r w:rsidRPr="001D07D6">
        <w:rPr>
          <w:rFonts w:asciiTheme="minorHAnsi" w:hAnsiTheme="minorHAnsi" w:cstheme="minorHAnsi"/>
          <w:spacing w:val="-5"/>
          <w:sz w:val="19"/>
        </w:rPr>
        <w:t>should</w:t>
      </w:r>
      <w:r w:rsidRPr="001D07D6">
        <w:rPr>
          <w:rFonts w:asciiTheme="minorHAnsi" w:hAnsiTheme="minorHAnsi" w:cstheme="minorHAnsi"/>
          <w:spacing w:val="-11"/>
          <w:sz w:val="19"/>
        </w:rPr>
        <w:t xml:space="preserve"> </w:t>
      </w:r>
      <w:r w:rsidRPr="001D07D6">
        <w:rPr>
          <w:rFonts w:asciiTheme="minorHAnsi" w:hAnsiTheme="minorHAnsi" w:cstheme="minorHAnsi"/>
          <w:spacing w:val="-3"/>
          <w:sz w:val="19"/>
        </w:rPr>
        <w:t>be</w:t>
      </w:r>
      <w:r w:rsidRPr="001D07D6">
        <w:rPr>
          <w:rFonts w:asciiTheme="minorHAnsi" w:hAnsiTheme="minorHAnsi" w:cstheme="minorHAnsi"/>
          <w:spacing w:val="-10"/>
          <w:sz w:val="19"/>
        </w:rPr>
        <w:t xml:space="preserve"> </w:t>
      </w:r>
      <w:r w:rsidRPr="001D07D6">
        <w:rPr>
          <w:rFonts w:asciiTheme="minorHAnsi" w:hAnsiTheme="minorHAnsi" w:cstheme="minorHAnsi"/>
          <w:spacing w:val="-5"/>
          <w:sz w:val="19"/>
        </w:rPr>
        <w:t>dealt</w:t>
      </w:r>
      <w:r w:rsidRPr="001D07D6">
        <w:rPr>
          <w:rFonts w:asciiTheme="minorHAnsi" w:hAnsiTheme="minorHAnsi" w:cstheme="minorHAnsi"/>
          <w:spacing w:val="-11"/>
          <w:sz w:val="19"/>
        </w:rPr>
        <w:t xml:space="preserve"> </w:t>
      </w:r>
      <w:r w:rsidRPr="001D07D6">
        <w:rPr>
          <w:rFonts w:asciiTheme="minorHAnsi" w:hAnsiTheme="minorHAnsi" w:cstheme="minorHAnsi"/>
          <w:spacing w:val="-5"/>
          <w:sz w:val="19"/>
        </w:rPr>
        <w:t>with</w:t>
      </w:r>
      <w:r w:rsidRPr="001D07D6">
        <w:rPr>
          <w:rFonts w:asciiTheme="minorHAnsi" w:hAnsiTheme="minorHAnsi" w:cstheme="minorHAnsi"/>
          <w:spacing w:val="-10"/>
          <w:sz w:val="19"/>
        </w:rPr>
        <w:t xml:space="preserve"> </w:t>
      </w:r>
      <w:r w:rsidRPr="001D07D6">
        <w:rPr>
          <w:rFonts w:asciiTheme="minorHAnsi" w:hAnsiTheme="minorHAnsi" w:cstheme="minorHAnsi"/>
          <w:spacing w:val="-3"/>
          <w:sz w:val="19"/>
        </w:rPr>
        <w:t>as</w:t>
      </w:r>
      <w:r w:rsidRPr="001D07D6">
        <w:rPr>
          <w:rFonts w:asciiTheme="minorHAnsi" w:hAnsiTheme="minorHAnsi" w:cstheme="minorHAnsi"/>
          <w:spacing w:val="-11"/>
          <w:sz w:val="19"/>
        </w:rPr>
        <w:t xml:space="preserve"> </w:t>
      </w:r>
      <w:r w:rsidRPr="001D07D6">
        <w:rPr>
          <w:rFonts w:asciiTheme="minorHAnsi" w:hAnsiTheme="minorHAnsi" w:cstheme="minorHAnsi"/>
          <w:spacing w:val="-5"/>
          <w:sz w:val="19"/>
        </w:rPr>
        <w:t>soon</w:t>
      </w:r>
      <w:r w:rsidRPr="001D07D6">
        <w:rPr>
          <w:rFonts w:asciiTheme="minorHAnsi" w:hAnsiTheme="minorHAnsi" w:cstheme="minorHAnsi"/>
          <w:spacing w:val="-11"/>
          <w:sz w:val="19"/>
        </w:rPr>
        <w:t xml:space="preserve"> </w:t>
      </w:r>
      <w:r w:rsidRPr="001D07D6">
        <w:rPr>
          <w:rFonts w:asciiTheme="minorHAnsi" w:hAnsiTheme="minorHAnsi" w:cstheme="minorHAnsi"/>
          <w:spacing w:val="-3"/>
          <w:sz w:val="19"/>
        </w:rPr>
        <w:t>as</w:t>
      </w:r>
      <w:r w:rsidRPr="001D07D6">
        <w:rPr>
          <w:rFonts w:asciiTheme="minorHAnsi" w:hAnsiTheme="minorHAnsi" w:cstheme="minorHAnsi"/>
          <w:spacing w:val="-10"/>
          <w:sz w:val="19"/>
        </w:rPr>
        <w:t xml:space="preserve"> </w:t>
      </w:r>
      <w:r w:rsidRPr="001D07D6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1D07D6">
        <w:rPr>
          <w:rFonts w:asciiTheme="minorHAnsi" w:hAnsiTheme="minorHAnsi" w:cstheme="minorHAnsi"/>
          <w:spacing w:val="32"/>
          <w:sz w:val="19"/>
        </w:rPr>
        <w:t xml:space="preserve"> </w:t>
      </w:r>
      <w:r w:rsidRPr="001D07D6">
        <w:rPr>
          <w:rFonts w:asciiTheme="minorHAnsi" w:hAnsiTheme="minorHAnsi" w:cstheme="minorHAnsi"/>
          <w:b/>
          <w:spacing w:val="-5"/>
          <w:sz w:val="19"/>
        </w:rPr>
        <w:t>Low</w:t>
      </w:r>
      <w:r w:rsidRPr="001D07D6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D07D6">
        <w:rPr>
          <w:rFonts w:asciiTheme="minorHAnsi" w:hAnsiTheme="minorHAnsi" w:cstheme="minorHAnsi"/>
          <w:b/>
          <w:spacing w:val="-5"/>
          <w:sz w:val="19"/>
        </w:rPr>
        <w:t>Risk</w:t>
      </w:r>
      <w:r w:rsidRPr="001D07D6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1D07D6">
        <w:rPr>
          <w:rFonts w:asciiTheme="minorHAnsi" w:hAnsiTheme="minorHAnsi" w:cstheme="minorHAnsi"/>
          <w:b/>
          <w:spacing w:val="-4"/>
          <w:sz w:val="19"/>
        </w:rPr>
        <w:t>(L)</w:t>
      </w:r>
      <w:r w:rsidRPr="001D07D6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1D07D6">
        <w:rPr>
          <w:rFonts w:asciiTheme="minorHAnsi" w:hAnsiTheme="minorHAnsi" w:cstheme="minorHAnsi"/>
          <w:spacing w:val="-6"/>
          <w:sz w:val="19"/>
        </w:rPr>
        <w:t>actions</w:t>
      </w:r>
      <w:r w:rsidRPr="001D07D6">
        <w:rPr>
          <w:rFonts w:asciiTheme="minorHAnsi" w:hAnsiTheme="minorHAnsi" w:cstheme="minorHAnsi"/>
          <w:spacing w:val="-11"/>
          <w:sz w:val="19"/>
        </w:rPr>
        <w:t xml:space="preserve"> </w:t>
      </w:r>
      <w:r w:rsidRPr="001D07D6">
        <w:rPr>
          <w:rFonts w:asciiTheme="minorHAnsi" w:hAnsiTheme="minorHAnsi" w:cstheme="minorHAnsi"/>
          <w:spacing w:val="-5"/>
          <w:sz w:val="19"/>
        </w:rPr>
        <w:t>should</w:t>
      </w:r>
      <w:r w:rsidRPr="001D07D6">
        <w:rPr>
          <w:rFonts w:asciiTheme="minorHAnsi" w:hAnsiTheme="minorHAnsi" w:cstheme="minorHAnsi"/>
          <w:spacing w:val="-10"/>
          <w:sz w:val="19"/>
        </w:rPr>
        <w:t xml:space="preserve"> </w:t>
      </w:r>
      <w:r w:rsidRPr="001D07D6">
        <w:rPr>
          <w:rFonts w:asciiTheme="minorHAnsi" w:hAnsiTheme="minorHAnsi" w:cstheme="minorHAnsi"/>
          <w:spacing w:val="-3"/>
          <w:sz w:val="19"/>
        </w:rPr>
        <w:t>be</w:t>
      </w:r>
      <w:r w:rsidRPr="001D07D6">
        <w:rPr>
          <w:rFonts w:asciiTheme="minorHAnsi" w:hAnsiTheme="minorHAnsi" w:cstheme="minorHAnsi"/>
          <w:spacing w:val="-11"/>
          <w:sz w:val="19"/>
        </w:rPr>
        <w:t xml:space="preserve"> </w:t>
      </w:r>
      <w:r w:rsidRPr="001D07D6">
        <w:rPr>
          <w:rFonts w:asciiTheme="minorHAnsi" w:hAnsiTheme="minorHAnsi" w:cstheme="minorHAnsi"/>
          <w:spacing w:val="-5"/>
          <w:sz w:val="19"/>
        </w:rPr>
        <w:t>dealt</w:t>
      </w:r>
      <w:r w:rsidRPr="001D07D6">
        <w:rPr>
          <w:rFonts w:asciiTheme="minorHAnsi" w:hAnsiTheme="minorHAnsi" w:cstheme="minorHAnsi"/>
          <w:spacing w:val="-10"/>
          <w:sz w:val="19"/>
        </w:rPr>
        <w:t xml:space="preserve"> </w:t>
      </w:r>
      <w:r w:rsidRPr="001D07D6">
        <w:rPr>
          <w:rFonts w:asciiTheme="minorHAnsi" w:hAnsiTheme="minorHAnsi" w:cstheme="minorHAnsi"/>
          <w:spacing w:val="-5"/>
          <w:sz w:val="19"/>
        </w:rPr>
        <w:t>with</w:t>
      </w:r>
      <w:r w:rsidRPr="001D07D6">
        <w:rPr>
          <w:rFonts w:asciiTheme="minorHAnsi" w:hAnsiTheme="minorHAnsi" w:cstheme="minorHAnsi"/>
          <w:spacing w:val="-11"/>
          <w:sz w:val="19"/>
        </w:rPr>
        <w:t xml:space="preserve"> </w:t>
      </w:r>
      <w:r w:rsidRPr="001D07D6">
        <w:rPr>
          <w:rFonts w:asciiTheme="minorHAnsi" w:hAnsiTheme="minorHAnsi" w:cstheme="minorHAnsi"/>
          <w:spacing w:val="-3"/>
          <w:sz w:val="19"/>
        </w:rPr>
        <w:t>as</w:t>
      </w:r>
      <w:r w:rsidRPr="001D07D6">
        <w:rPr>
          <w:rFonts w:asciiTheme="minorHAnsi" w:hAnsiTheme="minorHAnsi" w:cstheme="minorHAnsi"/>
          <w:spacing w:val="-10"/>
          <w:sz w:val="19"/>
        </w:rPr>
        <w:t xml:space="preserve"> </w:t>
      </w:r>
      <w:r w:rsidRPr="001D07D6">
        <w:rPr>
          <w:rFonts w:asciiTheme="minorHAnsi" w:hAnsiTheme="minorHAnsi" w:cstheme="minorHAnsi"/>
          <w:spacing w:val="-5"/>
          <w:sz w:val="19"/>
        </w:rPr>
        <w:t>soon</w:t>
      </w:r>
      <w:r w:rsidRPr="001D07D6">
        <w:rPr>
          <w:rFonts w:asciiTheme="minorHAnsi" w:hAnsiTheme="minorHAnsi" w:cstheme="minorHAnsi"/>
          <w:spacing w:val="-11"/>
          <w:sz w:val="19"/>
        </w:rPr>
        <w:t xml:space="preserve"> </w:t>
      </w:r>
      <w:r w:rsidRPr="001D07D6">
        <w:rPr>
          <w:rFonts w:asciiTheme="minorHAnsi" w:hAnsiTheme="minorHAnsi" w:cstheme="minorHAnsi"/>
          <w:spacing w:val="-3"/>
          <w:sz w:val="19"/>
        </w:rPr>
        <w:t>as</w:t>
      </w:r>
      <w:r w:rsidRPr="001D07D6">
        <w:rPr>
          <w:rFonts w:asciiTheme="minorHAnsi" w:hAnsiTheme="minorHAnsi" w:cstheme="minorHAnsi"/>
          <w:spacing w:val="-10"/>
          <w:sz w:val="19"/>
        </w:rPr>
        <w:t xml:space="preserve"> </w:t>
      </w:r>
      <w:r w:rsidRPr="001D07D6">
        <w:rPr>
          <w:rFonts w:asciiTheme="minorHAnsi" w:hAnsiTheme="minorHAnsi" w:cstheme="minorHAnsi"/>
          <w:spacing w:val="-6"/>
          <w:sz w:val="19"/>
        </w:rPr>
        <w:t>practicable.</w:t>
      </w:r>
    </w:p>
    <w:p w:rsidR="00002E0D" w:rsidRPr="001D07D6" w:rsidRDefault="00002E0D" w:rsidP="001D07D6">
      <w:pPr>
        <w:keepNext/>
        <w:keepLines/>
        <w:widowControl/>
        <w:rPr>
          <w:rFonts w:asciiTheme="minorHAnsi" w:hAnsiTheme="minorHAnsi" w:cstheme="minorHAnsi"/>
        </w:rPr>
      </w:pPr>
    </w:p>
    <w:p w:rsidR="00002E0D" w:rsidRPr="001D07D6" w:rsidRDefault="00D174A3" w:rsidP="001D07D6">
      <w:pPr>
        <w:pStyle w:val="Tekstpodstawowy"/>
        <w:keepNext/>
        <w:keepLines/>
        <w:widowControl/>
        <w:tabs>
          <w:tab w:val="left" w:pos="9090"/>
          <w:tab w:val="left" w:pos="9465"/>
          <w:tab w:val="left" w:pos="10284"/>
          <w:tab w:val="left" w:pos="10744"/>
        </w:tabs>
        <w:spacing w:before="192"/>
        <w:ind w:left="105"/>
        <w:rPr>
          <w:rFonts w:asciiTheme="minorHAnsi" w:hAnsiTheme="minorHAnsi" w:cstheme="minorHAnsi"/>
        </w:rPr>
      </w:pPr>
      <w:r w:rsidRPr="001D07D6">
        <w:rPr>
          <w:rFonts w:asciiTheme="minorHAnsi" w:hAnsiTheme="minorHAnsi" w:cstheme="minorHAnsi"/>
          <w:spacing w:val="-5"/>
        </w:rPr>
        <w:t xml:space="preserve">Risk </w:t>
      </w:r>
      <w:r w:rsidRPr="001D07D6">
        <w:rPr>
          <w:rFonts w:asciiTheme="minorHAnsi" w:hAnsiTheme="minorHAnsi" w:cstheme="minorHAnsi"/>
          <w:spacing w:val="-6"/>
        </w:rPr>
        <w:t>Assessment carried</w:t>
      </w:r>
      <w:r w:rsidRPr="001D07D6">
        <w:rPr>
          <w:rFonts w:asciiTheme="minorHAnsi" w:hAnsiTheme="minorHAnsi" w:cstheme="minorHAnsi"/>
          <w:spacing w:val="-28"/>
        </w:rPr>
        <w:t xml:space="preserve"> </w:t>
      </w:r>
      <w:r w:rsidRPr="001D07D6">
        <w:rPr>
          <w:rFonts w:asciiTheme="minorHAnsi" w:hAnsiTheme="minorHAnsi" w:cstheme="minorHAnsi"/>
          <w:spacing w:val="-5"/>
        </w:rPr>
        <w:t>out</w:t>
      </w:r>
      <w:r w:rsidRPr="001D07D6">
        <w:rPr>
          <w:rFonts w:asciiTheme="minorHAnsi" w:hAnsiTheme="minorHAnsi" w:cstheme="minorHAnsi"/>
          <w:spacing w:val="-11"/>
        </w:rPr>
        <w:t xml:space="preserve"> </w:t>
      </w:r>
      <w:r w:rsidRPr="001D07D6">
        <w:rPr>
          <w:rFonts w:asciiTheme="minorHAnsi" w:hAnsiTheme="minorHAnsi" w:cstheme="minorHAnsi"/>
          <w:spacing w:val="-4"/>
        </w:rPr>
        <w:t>by:</w:t>
      </w:r>
      <w:r w:rsidRPr="001D07D6">
        <w:rPr>
          <w:rFonts w:asciiTheme="minorHAnsi" w:hAnsiTheme="minorHAnsi" w:cstheme="minorHAnsi"/>
          <w:spacing w:val="-4"/>
          <w:u w:val="single"/>
        </w:rPr>
        <w:t xml:space="preserve"> </w:t>
      </w:r>
      <w:r w:rsidRPr="001D07D6">
        <w:rPr>
          <w:rFonts w:asciiTheme="minorHAnsi" w:hAnsiTheme="minorHAnsi" w:cstheme="minorHAnsi"/>
          <w:spacing w:val="-4"/>
          <w:u w:val="single"/>
        </w:rPr>
        <w:tab/>
      </w:r>
      <w:r w:rsidRPr="001D07D6">
        <w:rPr>
          <w:rFonts w:asciiTheme="minorHAnsi" w:hAnsiTheme="minorHAnsi" w:cstheme="minorHAnsi"/>
          <w:spacing w:val="-4"/>
        </w:rPr>
        <w:tab/>
      </w:r>
      <w:r w:rsidRPr="001D07D6">
        <w:rPr>
          <w:rFonts w:asciiTheme="minorHAnsi" w:hAnsiTheme="minorHAnsi" w:cstheme="minorHAnsi"/>
          <w:spacing w:val="-6"/>
        </w:rPr>
        <w:t>Date:</w:t>
      </w:r>
      <w:r w:rsidRPr="001D07D6">
        <w:rPr>
          <w:rFonts w:asciiTheme="minorHAnsi" w:hAnsiTheme="minorHAnsi" w:cstheme="minorHAnsi"/>
          <w:spacing w:val="-6"/>
        </w:rPr>
        <w:tab/>
      </w:r>
      <w:r w:rsidRPr="001D07D6">
        <w:rPr>
          <w:rFonts w:asciiTheme="minorHAnsi" w:hAnsiTheme="minorHAnsi" w:cstheme="minorHAnsi"/>
        </w:rPr>
        <w:t>/</w:t>
      </w:r>
      <w:r w:rsidRPr="001D07D6">
        <w:rPr>
          <w:rFonts w:asciiTheme="minorHAnsi" w:hAnsiTheme="minorHAnsi" w:cstheme="minorHAnsi"/>
        </w:rPr>
        <w:tab/>
        <w:t>/</w:t>
      </w:r>
    </w:p>
    <w:p w:rsidR="00002E0D" w:rsidRPr="001D07D6" w:rsidRDefault="00D174A3">
      <w:pPr>
        <w:spacing w:before="97"/>
        <w:ind w:left="105"/>
        <w:rPr>
          <w:rFonts w:asciiTheme="minorHAnsi" w:hAnsiTheme="minorHAnsi" w:cstheme="minorHAnsi"/>
          <w:sz w:val="14"/>
        </w:rPr>
      </w:pPr>
      <w:r w:rsidRPr="001D07D6">
        <w:rPr>
          <w:rFonts w:asciiTheme="minorHAnsi" w:hAnsiTheme="minorHAnsi" w:cstheme="minorHAnsi"/>
        </w:rPr>
        <w:br w:type="column"/>
      </w:r>
      <w:r w:rsidRPr="001D07D6">
        <w:rPr>
          <w:rFonts w:asciiTheme="minorHAnsi" w:hAnsiTheme="minorHAnsi" w:cstheme="minorHAnsi"/>
          <w:sz w:val="14"/>
        </w:rPr>
        <w:t>© All Rights Reserved</w:t>
      </w:r>
    </w:p>
    <w:sectPr w:rsidR="00002E0D" w:rsidRPr="001D07D6">
      <w:type w:val="continuous"/>
      <w:pgSz w:w="16840" w:h="11910" w:orient="landscape"/>
      <w:pgMar w:top="400" w:right="700" w:bottom="280" w:left="760" w:header="708" w:footer="708" w:gutter="0"/>
      <w:cols w:num="2" w:space="708" w:equalWidth="0">
        <w:col w:w="10969" w:space="2906"/>
        <w:col w:w="15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B4E" w:rsidRDefault="00075B4E" w:rsidP="001D07D6">
      <w:r>
        <w:separator/>
      </w:r>
    </w:p>
  </w:endnote>
  <w:endnote w:type="continuationSeparator" w:id="0">
    <w:p w:rsidR="00075B4E" w:rsidRDefault="00075B4E" w:rsidP="001D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B4E" w:rsidRDefault="00075B4E" w:rsidP="001D07D6">
      <w:r>
        <w:separator/>
      </w:r>
    </w:p>
  </w:footnote>
  <w:footnote w:type="continuationSeparator" w:id="0">
    <w:p w:rsidR="00075B4E" w:rsidRDefault="00075B4E" w:rsidP="001D0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D6" w:rsidRPr="001D07D6" w:rsidRDefault="001D07D6" w:rsidP="001D07D6">
    <w:pPr>
      <w:pStyle w:val="Tekstpodstawowy"/>
      <w:spacing w:after="60"/>
      <w:ind w:left="113"/>
      <w:rPr>
        <w:rFonts w:asciiTheme="minorHAnsi" w:hAnsiTheme="minorHAnsi" w:cstheme="minorHAnsi"/>
      </w:rPr>
    </w:pPr>
    <w:r w:rsidRPr="001D07D6">
      <w:rPr>
        <w:rFonts w:asciiTheme="minorHAnsi" w:hAnsiTheme="minorHAnsi" w:cstheme="minorHAnsi"/>
        <w:color w:val="EE7625"/>
      </w:rPr>
      <w:t xml:space="preserve">Staff Room - Risk Assessment Template No.26 </w:t>
    </w:r>
    <w:r w:rsidRPr="001D07D6">
      <w:rPr>
        <w:rFonts w:asciiTheme="minorHAnsi" w:hAnsiTheme="minorHAnsi" w:cstheme="minorHAnsi"/>
      </w:rPr>
      <w:t>(List additional hazards, risks and controls particular to your school using Template 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0D"/>
    <w:rsid w:val="00002E0D"/>
    <w:rsid w:val="00075B4E"/>
    <w:rsid w:val="001D07D6"/>
    <w:rsid w:val="00662EEB"/>
    <w:rsid w:val="007B1CFA"/>
    <w:rsid w:val="007B1E39"/>
    <w:rsid w:val="00D1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CFD89-B4B8-478C-8F47-741BB712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D0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7D6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1D0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7D6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a.ie/eng/education/managing_safety_and_health_in_schools/new_guidelines_files/ms_word_files/fire-_general-classrooms-and-offices_-no-19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sa.ie/eng/education/managing_safety_and_health_in_schools/new_guidelines_files/ms_word_files/portable-electrical-appliances-no-2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a.ie/eng/education/managing_safety_and_health_in_schools/new_guidelines_files/ms_word_files/slips-trips-and-falls-_general_-no-12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4</cp:revision>
  <dcterms:created xsi:type="dcterms:W3CDTF">2019-03-06T12:52:00Z</dcterms:created>
  <dcterms:modified xsi:type="dcterms:W3CDTF">2019-04-01T16:00:00Z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